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Skeelz AI / Maya Disclosure &amp; Consent Notice</w:t>
      </w:r>
    </w:p>
    <w:p>
      <w:pPr>
        <w:jc w:val="left"/>
      </w:pPr>
      <w:r>
        <w:rPr>
          <w:color w:val="64646C"/>
          <w:sz w:val="19"/>
        </w:rPr>
        <w:t>Effective date: September 18, 2026  •  Version: 2026-09-18</w:t>
      </w:r>
    </w:p>
    <w:p>
      <w:pPr>
        <w:pStyle w:val="PolicyNote"/>
      </w:pPr>
      <w:r>
        <w:rPr>
          <w:b/>
        </w:rPr>
        <w:t xml:space="preserve">Publication draft. Before publishing, replace </w:t>
      </w:r>
      <w:r>
        <w:t>[LEGAL ENTITY NAME], [MAILING ADDRESS], and [PRIVACY OFFICER NAME OR TITLE]. Have Canadian counsel review the final business terms, especially if Skeelz launches outside Canada or changes payment, subscription, insurance, or service-category rules.</w:t>
      </w:r>
    </w:p>
    <w:p>
      <w:r>
        <w:t>This Notice applies when Skeelz offers AI-enabled functions such as Maya Smart Search, Provider Profile Assistant, or AI-assisted content safety review. It is designed to provide a clear, separate explanation of what is sent to an AI provider, why, and what choices a user has.</w:t>
      </w:r>
    </w:p>
    <w:p>
      <w:pPr>
        <w:pStyle w:val="Heading1"/>
      </w:pPr>
      <w:r>
        <w:t>1. What Maya and AI features do</w:t>
      </w:r>
    </w:p>
    <w:p>
      <w:pPr>
        <w:pStyle w:val="LegalBullet"/>
      </w:pPr>
      <w:r>
        <w:rPr>
          <w:b/>
        </w:rPr>
        <w:t xml:space="preserve">• </w:t>
      </w:r>
      <w:r>
        <w:t>Smart Search may help a Client describe a project, ask follow-up questions, extract relevant service details, prepare a professional-facing project summary, and assist the Platform in searching for suitable Providers.</w:t>
      </w:r>
    </w:p>
    <w:p>
      <w:pPr>
        <w:pStyle w:val="LegalBullet"/>
      </w:pPr>
      <w:r>
        <w:rPr>
          <w:b/>
        </w:rPr>
        <w:t xml:space="preserve">• </w:t>
      </w:r>
      <w:r>
        <w:t>Provider Profile Assistant may help a Provider draft or improve profile content based on information the Provider chooses to provide.</w:t>
      </w:r>
    </w:p>
    <w:p>
      <w:pPr>
        <w:pStyle w:val="LegalBullet"/>
      </w:pPr>
      <w:r>
        <w:rPr>
          <w:b/>
        </w:rPr>
        <w:t xml:space="preserve">• </w:t>
      </w:r>
      <w:r>
        <w:t>AI-assisted moderation may classify submitted text or images for safety or policy concerns before or after publication, depending on the feature.</w:t>
      </w:r>
    </w:p>
    <w:p>
      <w:pPr>
        <w:pStyle w:val="Heading1"/>
      </w:pPr>
      <w:r>
        <w:t>2. Information that may be processed</w:t>
      </w:r>
    </w:p>
    <w:p>
      <w:r>
        <w:t>Depending on the feature, Skeelz may send the AI provider the text or image you submit, recent conversation or project context needed to understand the request, and limited technical instructions necessary to generate or classify the response. Do not submit unnecessary government identifiers, banking passwords, payment-card numbers, medical records, or other highly sensitive information through AI features.</w:t>
      </w:r>
    </w:p>
    <w:p>
      <w:pPr>
        <w:pStyle w:val="Heading1"/>
      </w:pPr>
      <w:r>
        <w:t>3. Third-party AI provider</w:t>
      </w:r>
    </w:p>
    <w:p>
      <w:r>
        <w:t>The reviewed implementation uses OpenAI API services for certain AI functions. OpenAI states that API inputs and outputs are not used to train its models by default unless the API customer explicitly opts in to data sharing. OpenAI may process and retain data according to the applicable business/API terms, security controls, configured retention settings, and legal obligations. Skeelz remains responsible for explaining its own purpose for the processing and for choosing appropriate vendor safeguards.</w:t>
      </w:r>
    </w:p>
    <w:p>
      <w:pPr>
        <w:pStyle w:val="Heading1"/>
      </w:pPr>
      <w:r>
        <w:t>4. Consent and withdrawal</w:t>
      </w:r>
    </w:p>
    <w:p>
      <w:r>
        <w:t>Where AI processing is optional or involves content that reasonably requires express consent, Skeelz should present a separate consent choice before processing. If you decline or withdraw consent, AI-dependent features may be unavailable, but Skeelz should not require optional AI consent for unrelated core features unless the processing is genuinely necessary to provide that feature. You may contact privacy@skeelz.ca about AI privacy choices.</w:t>
      </w:r>
    </w:p>
    <w:p>
      <w:pPr>
        <w:pStyle w:val="Heading1"/>
      </w:pPr>
      <w:r>
        <w:t>5. AI output is not guaranteed</w:t>
      </w:r>
    </w:p>
    <w:p>
      <w:r>
        <w:t>AI systems can misunderstand a request, omit details, hallucinate facts, produce biased or unsuitable wording, or classify content incorrectly. Review any AI-generated project summary, profile text, recommendation, or other output before relying on, publishing, or sending it. Provider matches remain subject to availability, eligibility and other Platform logic and are not a guarantee that a Provider is suitable.</w:t>
      </w:r>
    </w:p>
    <w:p>
      <w:pPr>
        <w:pStyle w:val="Heading1"/>
      </w:pPr>
      <w:r>
        <w:t>6. No professional advice</w:t>
      </w:r>
    </w:p>
    <w:p>
      <w:r>
        <w:t>Maya and other AI features do not provide legal, medical, mental-health, financial, tax, engineering, licensing, building-code, emergency, or safety advice. Users remain responsible for obtaining qualified professional advice where necessary and for making their own hiring and business decisions.</w:t>
      </w:r>
    </w:p>
    <w:p>
      <w:pPr>
        <w:pStyle w:val="Heading1"/>
      </w:pPr>
      <w:r>
        <w:t>7. Human review and safety</w:t>
      </w:r>
    </w:p>
    <w:p>
      <w:r>
        <w:t>Skeelz may combine automated AI processing with rule-based systems, database validation, user reports, payment signals, and human administrative review. A moderation flag may result in content being blocked, held for review, or reported for further investigation. Users may contact support to challenge an enforcement decision where an appeal channel is available.</w:t>
      </w:r>
    </w:p>
    <w:p>
      <w:pPr>
        <w:pStyle w:val="Heading1"/>
      </w:pPr>
      <w:r>
        <w:t>8. Privacy and retention</w:t>
      </w:r>
    </w:p>
    <w:p>
      <w:r>
        <w:t>AI-related personal information is governed by the Skeelz Privacy Policy and internal retention schedule. Skeelz should retain AI inputs or outputs only as long as reasonably necessary for the feature, conversation continuity, safety, support, dispute resolution, or legal requirements. Account deletion is subject to the retention exceptions described in the Account Deletion &amp; Data Retention Policy.</w:t>
      </w:r>
    </w:p>
    <w:p>
      <w:pPr>
        <w:pStyle w:val="Heading1"/>
      </w:pPr>
      <w:r>
        <w:t>Contact</w:t>
      </w:r>
    </w:p>
    <w:p>
      <w:r>
        <w:t>Operator: Skeelz, operated by [LEGAL ENTITY NAME]</w:t>
      </w:r>
    </w:p>
    <w:p>
      <w:r>
        <w:t>Mailing address: [MAILING ADDRESS]</w:t>
      </w:r>
    </w:p>
    <w:p>
      <w:r>
        <w:t>General support: support@skeelz.ca</w:t>
      </w:r>
    </w:p>
    <w:p>
      <w:r>
        <w:t>Privacy Officer: [PRIVACY OFFICER NAME OR TITLE]</w:t>
      </w:r>
    </w:p>
    <w:p>
      <w:r>
        <w:t>Privacy and data requests: privacy@skeelz.ca</w:t>
      </w:r>
    </w:p>
    <w:sectPr w:rsidR="00FC693F" w:rsidRPr="0006063C" w:rsidSect="00034616">
      <w:headerReference w:type="default" r:id="rId9"/>
      <w:footerReference w:type="default" r:id="rId10"/>
      <w:pgSz w:w="12240" w:h="15840"/>
      <w:pgMar w:top="1008" w:right="1181" w:bottom="1008"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color w:val="6E6E76"/>
        <w:sz w:val="16"/>
      </w:rPr>
      <w:t xml:space="preserve">Skeelz.ca  |  Version 2026-09-18  |  Page </w:t>
    </w:r>
    <w:r>
      <w:fldChar w:fldCharType="begin"/>
      <w:instrText xml:space="preserve">PAGE</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Pr>
        <w:rFonts w:ascii="Aptos" w:hAnsi="Aptos"/>
        <w:b/>
        <w:color w:val="705A8B"/>
        <w:sz w:val="16"/>
      </w:rPr>
      <w:t>SKEELZ  |  AI NOTICE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9" w:lineRule="auto"/>
    </w:pPr>
    <w:rPr>
      <w:rFonts w:ascii="Aptos" w:hAnsi="Aptos"/>
      <w:color w:val="2D2D32"/>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ptos Display" w:hAnsi="Aptos Display"/>
      <w:b/>
      <w:bCs/>
      <w:color w:val="251B3A"/>
      <w:sz w:val="34"/>
      <w:szCs w:val="28"/>
    </w:rPr>
  </w:style>
  <w:style w:type="paragraph" w:styleId="Heading2">
    <w:name w:val="heading 2"/>
    <w:basedOn w:val="Normal"/>
    <w:next w:val="Normal"/>
    <w:link w:val="Heading2Char"/>
    <w:uiPriority w:val="9"/>
    <w:unhideWhenUsed/>
    <w:qFormat/>
    <w:rsid w:val="00FC693F"/>
    <w:pPr>
      <w:keepNext/>
      <w:keepLines/>
      <w:spacing w:before="180" w:after="60"/>
      <w:outlineLvl w:val="1"/>
    </w:pPr>
    <w:rPr>
      <w:rFonts w:asciiTheme="majorHAnsi" w:eastAsiaTheme="majorEastAsia" w:hAnsiTheme="majorHAnsi" w:cstheme="majorBidi" w:ascii="Aptos Display" w:hAnsi="Aptos Display"/>
      <w:b/>
      <w:bCs/>
      <w:color w:val="5C2D91"/>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Aptos Display" w:hAnsi="Aptos Display"/>
      <w:b/>
      <w:color w:val="251B3A"/>
      <w:spacing w:val="5"/>
      <w:kern w:val="28"/>
      <w:sz w:val="5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PolicyNote">
    <w:name w:val="Policy Note"/>
    <w:pPr>
      <w:spacing w:before="80" w:after="140"/>
      <w:ind w:left="230" w:right="230"/>
    </w:pPr>
    <w:rPr>
      <w:rFonts w:ascii="Aptos" w:hAnsi="Aptos"/>
      <w:color w:val="5A4C6E"/>
      <w:sz w:val="19"/>
    </w:rPr>
  </w:style>
  <w:style w:type="paragraph" w:customStyle="1" w:styleId="LegalBullet">
    <w:name w:val="Legal Bullet"/>
    <w:basedOn w:val="Normal"/>
    <w:pPr>
      <w:spacing w:after="60"/>
      <w:ind w:left="360" w:hanging="245"/>
    </w:pPr>
    <w:rPr>
      <w:sz w:val="2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